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26" w:rsidRPr="00D4291C" w:rsidRDefault="00D4291C" w:rsidP="00B535FE">
      <w:pPr>
        <w:jc w:val="center"/>
        <w:rPr>
          <w:rFonts w:ascii="Century Gothic" w:hAnsi="Century Gothic"/>
          <w:b/>
        </w:rPr>
      </w:pPr>
      <w:r w:rsidRPr="00D4291C">
        <w:rPr>
          <w:rFonts w:ascii="Century Gothic" w:hAnsi="Century Gothic"/>
          <w:b/>
        </w:rPr>
        <w:t>BLOOMINGTON HUMAN RIGHTS COMMISSION</w:t>
      </w:r>
    </w:p>
    <w:p w:rsidR="00D4291C" w:rsidRPr="00D4291C" w:rsidRDefault="00D4291C" w:rsidP="00B535FE">
      <w:pPr>
        <w:jc w:val="center"/>
        <w:rPr>
          <w:rFonts w:ascii="Century Gothic" w:hAnsi="Century Gothic"/>
          <w:b/>
        </w:rPr>
      </w:pPr>
      <w:r w:rsidRPr="00D4291C">
        <w:rPr>
          <w:rFonts w:ascii="Century Gothic" w:hAnsi="Century Gothic"/>
          <w:b/>
        </w:rPr>
        <w:t>DIRECTOR’S QUARTERY REPORT</w:t>
      </w:r>
    </w:p>
    <w:p w:rsidR="00D4291C" w:rsidRDefault="00D4291C" w:rsidP="00B535FE">
      <w:pPr>
        <w:jc w:val="center"/>
        <w:rPr>
          <w:rFonts w:ascii="Century Gothic" w:hAnsi="Century Gothic"/>
          <w:b/>
        </w:rPr>
      </w:pPr>
      <w:r w:rsidRPr="00D4291C">
        <w:rPr>
          <w:rFonts w:ascii="Century Gothic" w:hAnsi="Century Gothic"/>
          <w:b/>
        </w:rPr>
        <w:t>April – June 2021</w:t>
      </w:r>
    </w:p>
    <w:p w:rsidR="00D4291C" w:rsidRDefault="00D4291C" w:rsidP="00D4291C">
      <w:pPr>
        <w:pStyle w:val="ListParagraph"/>
        <w:numPr>
          <w:ilvl w:val="0"/>
          <w:numId w:val="1"/>
        </w:numPr>
        <w:rPr>
          <w:rFonts w:ascii="Century Gothic" w:hAnsi="Century Gothic"/>
          <w:b/>
        </w:rPr>
      </w:pPr>
      <w:r>
        <w:rPr>
          <w:rFonts w:ascii="Century Gothic" w:hAnsi="Century Gothic"/>
          <w:b/>
        </w:rPr>
        <w:t>Discrimination complaints</w:t>
      </w:r>
    </w:p>
    <w:p w:rsidR="00F67F28" w:rsidRDefault="00F67F28" w:rsidP="00F67F28">
      <w:pPr>
        <w:pStyle w:val="ListParagraph"/>
        <w:ind w:left="1080"/>
        <w:rPr>
          <w:rFonts w:ascii="Century Gothic" w:hAnsi="Century Gothic"/>
          <w:b/>
        </w:rPr>
      </w:pPr>
    </w:p>
    <w:p w:rsidR="00D4291C" w:rsidRDefault="00D4291C" w:rsidP="00D4291C">
      <w:pPr>
        <w:pStyle w:val="ListParagraph"/>
        <w:numPr>
          <w:ilvl w:val="0"/>
          <w:numId w:val="5"/>
        </w:numPr>
        <w:rPr>
          <w:rFonts w:ascii="Century Gothic" w:hAnsi="Century Gothic"/>
        </w:rPr>
      </w:pPr>
      <w:r>
        <w:rPr>
          <w:rFonts w:ascii="Century Gothic" w:hAnsi="Century Gothic"/>
        </w:rPr>
        <w:t xml:space="preserve">Pending from previous quarters </w:t>
      </w:r>
      <w:r w:rsidR="00B535FE">
        <w:rPr>
          <w:rFonts w:ascii="Century Gothic" w:hAnsi="Century Gothic"/>
        </w:rPr>
        <w:br/>
      </w:r>
    </w:p>
    <w:p w:rsidR="00D4291C" w:rsidRDefault="00D4291C" w:rsidP="00D4291C">
      <w:pPr>
        <w:pStyle w:val="ListParagraph"/>
        <w:numPr>
          <w:ilvl w:val="0"/>
          <w:numId w:val="6"/>
        </w:numPr>
        <w:rPr>
          <w:rFonts w:ascii="Century Gothic" w:hAnsi="Century Gothic"/>
        </w:rPr>
      </w:pPr>
      <w:r>
        <w:rPr>
          <w:rFonts w:ascii="Century Gothic" w:hAnsi="Century Gothic"/>
        </w:rPr>
        <w:t>Commissioner Williams’ case</w:t>
      </w:r>
    </w:p>
    <w:p w:rsidR="00D4291C" w:rsidRPr="00D4291C" w:rsidRDefault="00D4291C" w:rsidP="00D4291C">
      <w:pPr>
        <w:pStyle w:val="ListParagraph"/>
        <w:numPr>
          <w:ilvl w:val="0"/>
          <w:numId w:val="7"/>
        </w:numPr>
        <w:rPr>
          <w:rFonts w:ascii="Century Gothic" w:hAnsi="Century Gothic"/>
        </w:rPr>
      </w:pPr>
      <w:r>
        <w:rPr>
          <w:rFonts w:ascii="Century Gothic" w:hAnsi="Century Gothic"/>
        </w:rPr>
        <w:t>Complaint</w:t>
      </w:r>
      <w:r w:rsidRPr="00D4291C">
        <w:rPr>
          <w:rFonts w:ascii="Century Gothic" w:hAnsi="Century Gothic"/>
        </w:rPr>
        <w:t xml:space="preserve"> alleging discrimination in employment and/or public accommodations on the basis of race filed in September, 2020</w:t>
      </w:r>
    </w:p>
    <w:p w:rsidR="00D4291C" w:rsidRDefault="00D4291C" w:rsidP="00D4291C">
      <w:pPr>
        <w:pStyle w:val="ListParagraph"/>
        <w:numPr>
          <w:ilvl w:val="0"/>
          <w:numId w:val="7"/>
        </w:numPr>
        <w:rPr>
          <w:rFonts w:ascii="Century Gothic" w:hAnsi="Century Gothic"/>
        </w:rPr>
      </w:pPr>
      <w:r>
        <w:rPr>
          <w:rFonts w:ascii="Century Gothic" w:hAnsi="Century Gothic"/>
        </w:rPr>
        <w:t>No probable cause decision issued in June, 2021; not appealed</w:t>
      </w:r>
      <w:r w:rsidR="00B535FE">
        <w:rPr>
          <w:rFonts w:ascii="Century Gothic" w:hAnsi="Century Gothic"/>
        </w:rPr>
        <w:br/>
      </w:r>
    </w:p>
    <w:p w:rsidR="00D4291C" w:rsidRDefault="00D4291C" w:rsidP="00D4291C">
      <w:pPr>
        <w:pStyle w:val="ListParagraph"/>
        <w:numPr>
          <w:ilvl w:val="0"/>
          <w:numId w:val="6"/>
        </w:numPr>
        <w:rPr>
          <w:rFonts w:ascii="Century Gothic" w:hAnsi="Century Gothic"/>
        </w:rPr>
      </w:pPr>
      <w:r>
        <w:rPr>
          <w:rFonts w:ascii="Century Gothic" w:hAnsi="Century Gothic"/>
        </w:rPr>
        <w:t>Commissioner McAlister’s case</w:t>
      </w:r>
    </w:p>
    <w:p w:rsidR="00D4291C" w:rsidRDefault="00D4291C" w:rsidP="00D4291C">
      <w:pPr>
        <w:pStyle w:val="ListParagraph"/>
        <w:numPr>
          <w:ilvl w:val="0"/>
          <w:numId w:val="8"/>
        </w:numPr>
        <w:rPr>
          <w:rFonts w:ascii="Century Gothic" w:hAnsi="Century Gothic"/>
        </w:rPr>
      </w:pPr>
      <w:r>
        <w:rPr>
          <w:rFonts w:ascii="Century Gothic" w:hAnsi="Century Gothic"/>
        </w:rPr>
        <w:t>Complaint alleging discrimination in housing on the basis of disability filed in March, 2021</w:t>
      </w:r>
    </w:p>
    <w:p w:rsidR="00D4291C" w:rsidRDefault="00D4291C" w:rsidP="00D4291C">
      <w:pPr>
        <w:pStyle w:val="ListParagraph"/>
        <w:numPr>
          <w:ilvl w:val="0"/>
          <w:numId w:val="8"/>
        </w:numPr>
        <w:rPr>
          <w:rFonts w:ascii="Century Gothic" w:hAnsi="Century Gothic"/>
        </w:rPr>
      </w:pPr>
      <w:r>
        <w:rPr>
          <w:rFonts w:ascii="Century Gothic" w:hAnsi="Century Gothic"/>
        </w:rPr>
        <w:t>Complaint withdrawn in April, 2021, when landlord corrected problem before BHRC investigated</w:t>
      </w:r>
      <w:r w:rsidR="00B535FE">
        <w:rPr>
          <w:rFonts w:ascii="Century Gothic" w:hAnsi="Century Gothic"/>
        </w:rPr>
        <w:br/>
      </w:r>
    </w:p>
    <w:p w:rsidR="00D4291C" w:rsidRDefault="00D4291C" w:rsidP="00D4291C">
      <w:pPr>
        <w:pStyle w:val="ListParagraph"/>
        <w:numPr>
          <w:ilvl w:val="0"/>
          <w:numId w:val="5"/>
        </w:numPr>
        <w:rPr>
          <w:rFonts w:ascii="Century Gothic" w:hAnsi="Century Gothic"/>
        </w:rPr>
      </w:pPr>
      <w:r>
        <w:rPr>
          <w:rFonts w:ascii="Century Gothic" w:hAnsi="Century Gothic"/>
        </w:rPr>
        <w:t xml:space="preserve">New cases – Commissioner </w:t>
      </w:r>
      <w:proofErr w:type="spellStart"/>
      <w:r>
        <w:rPr>
          <w:rFonts w:ascii="Century Gothic" w:hAnsi="Century Gothic"/>
        </w:rPr>
        <w:t>Shadday’s</w:t>
      </w:r>
      <w:proofErr w:type="spellEnd"/>
      <w:r>
        <w:rPr>
          <w:rFonts w:ascii="Century Gothic" w:hAnsi="Century Gothic"/>
        </w:rPr>
        <w:t xml:space="preserve"> case</w:t>
      </w:r>
    </w:p>
    <w:p w:rsidR="00D4291C" w:rsidRDefault="00D4291C" w:rsidP="00D4291C">
      <w:pPr>
        <w:pStyle w:val="ListParagraph"/>
        <w:numPr>
          <w:ilvl w:val="0"/>
          <w:numId w:val="11"/>
        </w:numPr>
        <w:rPr>
          <w:rFonts w:ascii="Century Gothic" w:hAnsi="Century Gothic"/>
        </w:rPr>
      </w:pPr>
      <w:r>
        <w:rPr>
          <w:rFonts w:ascii="Century Gothic" w:hAnsi="Century Gothic"/>
        </w:rPr>
        <w:t>Complaint alleging discrimination in housing on the basis of disability filed in June, 2021</w:t>
      </w:r>
    </w:p>
    <w:p w:rsidR="00D4291C" w:rsidRDefault="00F67F28" w:rsidP="00D4291C">
      <w:pPr>
        <w:pStyle w:val="ListParagraph"/>
        <w:numPr>
          <w:ilvl w:val="0"/>
          <w:numId w:val="11"/>
        </w:numPr>
        <w:rPr>
          <w:rFonts w:ascii="Century Gothic" w:hAnsi="Century Gothic"/>
        </w:rPr>
      </w:pPr>
      <w:r>
        <w:rPr>
          <w:rFonts w:ascii="Century Gothic" w:hAnsi="Century Gothic"/>
        </w:rPr>
        <w:t>Investigation pending</w:t>
      </w:r>
    </w:p>
    <w:p w:rsidR="00F67F28" w:rsidRDefault="00F67F28" w:rsidP="00F67F28">
      <w:pPr>
        <w:pStyle w:val="ListParagraph"/>
        <w:ind w:left="1800"/>
        <w:rPr>
          <w:rFonts w:ascii="Century Gothic" w:hAnsi="Century Gothic"/>
        </w:rPr>
      </w:pPr>
    </w:p>
    <w:p w:rsidR="00D4291C" w:rsidRDefault="00EC0B38" w:rsidP="00D4291C">
      <w:pPr>
        <w:pStyle w:val="ListParagraph"/>
        <w:numPr>
          <w:ilvl w:val="0"/>
          <w:numId w:val="1"/>
        </w:numPr>
        <w:rPr>
          <w:rFonts w:ascii="Century Gothic" w:hAnsi="Century Gothic"/>
          <w:b/>
        </w:rPr>
      </w:pPr>
      <w:r>
        <w:rPr>
          <w:rFonts w:ascii="Century Gothic" w:hAnsi="Century Gothic"/>
          <w:b/>
        </w:rPr>
        <w:t>Miscellaneous inquiries</w:t>
      </w:r>
    </w:p>
    <w:p w:rsidR="00B535FE" w:rsidRDefault="00B535FE" w:rsidP="00B535FE">
      <w:pPr>
        <w:pStyle w:val="ListParagraph"/>
        <w:spacing w:line="256" w:lineRule="auto"/>
        <w:ind w:left="1080"/>
        <w:rPr>
          <w:rFonts w:ascii="Century Gothic" w:hAnsi="Century Gothic"/>
        </w:rPr>
      </w:pPr>
    </w:p>
    <w:p w:rsidR="00B535FE" w:rsidRDefault="00B535FE" w:rsidP="00B535FE">
      <w:pPr>
        <w:pStyle w:val="ListParagraph"/>
        <w:numPr>
          <w:ilvl w:val="0"/>
          <w:numId w:val="21"/>
        </w:numPr>
        <w:spacing w:line="256" w:lineRule="auto"/>
        <w:rPr>
          <w:rFonts w:ascii="Century Gothic" w:hAnsi="Century Gothic"/>
        </w:rPr>
      </w:pPr>
      <w:r>
        <w:rPr>
          <w:rFonts w:ascii="Century Gothic" w:hAnsi="Century Gothic"/>
        </w:rPr>
        <w:t>Email writer had questions about emotional support animals and landlords; answered questions and sent him a copy of HUD’s memo.</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Email writer said when he didn’t have heat in his apartment, he used the stove for heat and broke it.  Now his landlord is refusing to renew his lease because he broke the stove.  No evidence of race, sex, etc., discrimination. Referred to Indiana Legal Services.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Caller, from northern Indiana, said that his employer was retaliating against him for having filed a workers comp claim and was trying to make him do tasks he said he is not physically able to do. He said employer was claiming he had never contacted appropriate </w:t>
      </w:r>
      <w:r w:rsidRPr="00B535FE">
        <w:rPr>
          <w:rFonts w:ascii="Century Gothic" w:hAnsi="Century Gothic"/>
        </w:rPr>
        <w:lastRenderedPageBreak/>
        <w:t xml:space="preserve">employees about his medical status, even though he had documentation he had done so.  No evidence of race, sex, etc., discrimination, and not within Bloomington’s city limits. Referred to OSHA and private attorneys.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Landlord asked if he had to allow a tenant to have a service dog.  Told him yes and explained what he could legally request from tenant.  Landlord said he “knew” this dog would damage the property in excess of the security deposit and asked if he could charge a pet fee.  Explained that he could not for a service dog, but at the end of the lease, he could charge the tenant for the actual damages, if any.  Asked how he could get the law changed; said he could call his congressional representative. He said we were “useless” and hung up.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Caller, a social worker, said she was working with a client in Indianapolis. Client recently gave birth and is a single mother. She wants to switch to day shift when she returns to work because of the baby, but is not senior enough to be entitled to pick a shift.  Expl</w:t>
      </w:r>
      <w:r w:rsidR="00EC0B38">
        <w:rPr>
          <w:rFonts w:ascii="Century Gothic" w:hAnsi="Century Gothic"/>
        </w:rPr>
        <w:t xml:space="preserve">ained denial of shift change might </w:t>
      </w:r>
      <w:r w:rsidRPr="00B535FE">
        <w:rPr>
          <w:rFonts w:ascii="Century Gothic" w:hAnsi="Century Gothic"/>
        </w:rPr>
        <w:t xml:space="preserve">not </w:t>
      </w:r>
      <w:r w:rsidR="00EC0B38">
        <w:rPr>
          <w:rFonts w:ascii="Century Gothic" w:hAnsi="Century Gothic"/>
        </w:rPr>
        <w:t xml:space="preserve">be </w:t>
      </w:r>
      <w:r w:rsidRPr="00B535FE">
        <w:rPr>
          <w:rFonts w:ascii="Century Gothic" w:hAnsi="Century Gothic"/>
        </w:rPr>
        <w:t xml:space="preserve">enough for a pregnancy discrimination complaint, but referred to Indiana Civil Rights Commission and/or Equal Employment Opportunity Commission.  </w:t>
      </w:r>
      <w:r>
        <w:rPr>
          <w:rFonts w:ascii="Century Gothic" w:hAnsi="Century Gothic"/>
        </w:rPr>
        <w:br/>
      </w:r>
    </w:p>
    <w:p w:rsidR="00B535FE" w:rsidRPr="00EC0B38" w:rsidRDefault="00B535FE" w:rsidP="00EC0B38">
      <w:pPr>
        <w:pStyle w:val="ListParagraph"/>
        <w:numPr>
          <w:ilvl w:val="0"/>
          <w:numId w:val="21"/>
        </w:numPr>
        <w:spacing w:line="256" w:lineRule="auto"/>
        <w:rPr>
          <w:rFonts w:ascii="Century Gothic" w:hAnsi="Century Gothic"/>
        </w:rPr>
      </w:pPr>
      <w:r w:rsidRPr="00B535FE">
        <w:rPr>
          <w:rFonts w:ascii="Century Gothic" w:hAnsi="Century Gothic"/>
        </w:rPr>
        <w:t xml:space="preserve">Caller said she had a serious mold issue in her apartment. Referred to HAND.  </w:t>
      </w:r>
      <w:r w:rsidRPr="00EC0B38">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Caller said that a neighbor is harassing her, breaking into her apartment, setting fires, attacking her.  Not a BHRC matter; referred to IU Law School’s Protective Order Project and BPD.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Caller wanted to file a HIPAA violation complaint with the BHRC.  Referred to U.S. Healt</w:t>
      </w:r>
      <w:r>
        <w:rPr>
          <w:rFonts w:ascii="Century Gothic" w:hAnsi="Century Gothic"/>
        </w:rPr>
        <w:t xml:space="preserve">h and Human Services web page.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Caller said that she uses a walker and can’t get to the parking lot or trash area if people park in front of her apartment, blocking the curb cut.  Landlord has tried to address issues but other tenants still park there. After discussion, landlord allowed tenant to move out early without penalty.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lastRenderedPageBreak/>
        <w:t xml:space="preserve">Caller said landlord is not renewing her lease, allegedly because of cat urine smell and cockroaches. She said she has given away her cat and has cleaned the apartment, and that she does not have more cockroaches than other tenants; she blames that problem on the landlord.  She said moving would be difficult for her because of her disability. She thinks landlord doesn’t like her because of her sexual orientation but had no evidence of that.  No evidence of illegal discrimination; referred her to sources that maybe could help her avoid having to move or help her with moving if it comes to that.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Caller said that her son’s landlord repeatedly turned off the elevator and kept it off for months.  He also entered apartments without notice. No discrimination issue</w:t>
      </w:r>
      <w:r w:rsidR="00EC0B38">
        <w:rPr>
          <w:rFonts w:ascii="Century Gothic" w:hAnsi="Century Gothic"/>
        </w:rPr>
        <w:t xml:space="preserve"> (son did not have disability)</w:t>
      </w:r>
      <w:r w:rsidRPr="00B535FE">
        <w:rPr>
          <w:rFonts w:ascii="Century Gothic" w:hAnsi="Century Gothic"/>
        </w:rPr>
        <w:t xml:space="preserve">; referred to HAND and Student Legal Services.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Caller said that she had all but been offered a dog until employer learned she would need a service animal with her at work (in</w:t>
      </w:r>
      <w:r w:rsidR="00EC0B38">
        <w:rPr>
          <w:rFonts w:ascii="Century Gothic" w:hAnsi="Century Gothic"/>
        </w:rPr>
        <w:t>terviews had all been virtual). Not in BHRC jurisdiction; made referral.</w:t>
      </w:r>
      <w:r>
        <w:rPr>
          <w:rFonts w:ascii="Century Gothic" w:hAnsi="Century Gothic"/>
          <w:b/>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Caller, mother of an IU student, was upset that IU announced that COVID-19 vaccinations are mandatory for students.  Referred to IU and ICRC.</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At least five IU students called to complain that IU was mandating that students receive vaccines.  Referred to IU and ICRC.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Caller said that her neighbor’s dogs had attacked her husband. Referred to animal shelter.</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Caller said that her daughter has disabilities. After 13 years, landlord is no longer accepting Section 8.  Not illegal. Referred to Indiana Legal Services and to Bloomington Housing Authority.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Caller said he had been unfairly arrested. He said BPD officer told him to call “Wendy in city legal” to get the charges dropped. Explained that no one named Wendy worked in city legal, and city legal does not deal with criminal matters.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lastRenderedPageBreak/>
        <w:t xml:space="preserve">Caller said that she had been subjected to online bullying and that she was concerned about her safety. Not a BHRC issue; tried to make referrals.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Caller said she had been fired unfairly.  Employer claimed it had a video of her at work with a box containing illegal drugs and supplies. They would not show her the video; she denied having or using drugs. No evidence of illegal discrimination; referred to workforce development to file for unemployment.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Caller, a municipal attorney, had questions about Bloomington’s reserved residential parking for people with disabilities.  Answered questions.</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Email writer said he felt he might be experiencing discrimination or might experience in the future.  Asked for help with current discrimination and how to avoid in the future.  Responded with request for more information; he said a private entity had denied his membership because of how he had treated a member years earlier before he received treatment for disability.  Not covered by Bloomington Human Rights Ordinance; made referrals. Also asked how to request accommodations from employers; sent handout from the Job Accommodation Network (JAN).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Woman made report on hate incidents site, reporting that landlord promised her an apartment but now says there is not one available and also that “black boys” keep knocking on her door. Landlord not subject to BHRC’s jurisdiction; referred to ICRC or HUD. Suggested if she thinks the boys are committing a crime, she should call 911.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Caller, a landlord, had questions about emotional support animals and service animals; answered questions.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Caller uses a manual wheelchair. She looked at an apartment advertised as accessible, but it had a thick carpet making it hard for her to maneuver. She asked if she had the right to ask the landlord to remove the carpet at landlord’s expense; yes, as carpet height arguably violates accessibility standards. She will call back if effort not successful. </w:t>
      </w:r>
      <w:r>
        <w:rPr>
          <w:rFonts w:ascii="Century Gothic" w:hAnsi="Century Gothic"/>
        </w:rPr>
        <w:br/>
      </w:r>
    </w:p>
    <w:p w:rsid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lastRenderedPageBreak/>
        <w:t xml:space="preserve">Woman, a walk-in, said that she had been required to work on a holiday and had not received any extra pay.  She is Black. Her companion, a white man who works for the same employer, also was required to work on a holiday and had not received any extra pay.  Indiana law does not require extra pay on holidays or paid holidays. No evidence of illegal discrimination.  </w:t>
      </w:r>
      <w:r>
        <w:rPr>
          <w:rFonts w:ascii="Century Gothic" w:hAnsi="Century Gothic"/>
        </w:rPr>
        <w:br/>
      </w:r>
    </w:p>
    <w:p w:rsidR="00B535FE" w:rsidRPr="00B535FE" w:rsidRDefault="00B535FE" w:rsidP="00B535FE">
      <w:pPr>
        <w:pStyle w:val="ListParagraph"/>
        <w:numPr>
          <w:ilvl w:val="0"/>
          <w:numId w:val="21"/>
        </w:numPr>
        <w:spacing w:line="256" w:lineRule="auto"/>
        <w:rPr>
          <w:rFonts w:ascii="Century Gothic" w:hAnsi="Century Gothic"/>
        </w:rPr>
      </w:pPr>
      <w:r w:rsidRPr="00B535FE">
        <w:rPr>
          <w:rFonts w:ascii="Century Gothic" w:hAnsi="Century Gothic"/>
        </w:rPr>
        <w:t xml:space="preserve">Caller said that he had been waiting for an order in a restaurant when he began chatting with another customer about Christianity.  He said they were having a pleasant, </w:t>
      </w:r>
      <w:r w:rsidR="00EC0B38">
        <w:rPr>
          <w:rFonts w:ascii="Century Gothic" w:hAnsi="Century Gothic"/>
        </w:rPr>
        <w:t>and</w:t>
      </w:r>
      <w:r w:rsidRPr="00B535FE">
        <w:rPr>
          <w:rFonts w:ascii="Century Gothic" w:hAnsi="Century Gothic"/>
        </w:rPr>
        <w:t xml:space="preserve"> quiet conversation when the employee told them she didn’t want to hear that type of conversation. He and the other customer were shocked.  He talked to the corporate office and was told the local owner would get back to him, but no one has.  He didn’t want to file a complaint with the BHRC; he just wanted the woman to apologize.  Told him that his voicemail box had been full when we tried to return call several times and said maybe the local owner had encountered the same problem.  Suggested he call corporate again, explain that he had not received a call back and let corporate know he just wanted an apology. Suggested he call BHRC back if unhappy with the resolution.  </w:t>
      </w:r>
    </w:p>
    <w:p w:rsidR="00F67F28" w:rsidRDefault="00F67F28" w:rsidP="00F67F28">
      <w:pPr>
        <w:pStyle w:val="ListParagraph"/>
        <w:ind w:left="1080"/>
        <w:rPr>
          <w:rFonts w:ascii="Century Gothic" w:hAnsi="Century Gothic"/>
          <w:b/>
        </w:rPr>
      </w:pPr>
    </w:p>
    <w:p w:rsidR="00D4291C" w:rsidRDefault="00D4291C" w:rsidP="00D4291C">
      <w:pPr>
        <w:pStyle w:val="ListParagraph"/>
        <w:numPr>
          <w:ilvl w:val="0"/>
          <w:numId w:val="1"/>
        </w:numPr>
        <w:rPr>
          <w:rFonts w:ascii="Century Gothic" w:hAnsi="Century Gothic"/>
          <w:b/>
        </w:rPr>
      </w:pPr>
      <w:r>
        <w:rPr>
          <w:rFonts w:ascii="Century Gothic" w:hAnsi="Century Gothic"/>
          <w:b/>
        </w:rPr>
        <w:t>Publicity</w:t>
      </w:r>
    </w:p>
    <w:p w:rsidR="00F67F28" w:rsidRPr="00F67F28" w:rsidRDefault="00F67F28" w:rsidP="00F67F28">
      <w:pPr>
        <w:pStyle w:val="ListParagraph"/>
        <w:rPr>
          <w:rFonts w:ascii="Century Gothic" w:hAnsi="Century Gothic"/>
          <w:b/>
        </w:rPr>
      </w:pPr>
    </w:p>
    <w:p w:rsidR="00D4291C" w:rsidRDefault="009B5B8B" w:rsidP="009B5B8B">
      <w:pPr>
        <w:pStyle w:val="ListParagraph"/>
        <w:numPr>
          <w:ilvl w:val="0"/>
          <w:numId w:val="16"/>
        </w:numPr>
        <w:rPr>
          <w:rFonts w:ascii="Century Gothic" w:hAnsi="Century Gothic"/>
        </w:rPr>
      </w:pPr>
      <w:r>
        <w:rPr>
          <w:rFonts w:ascii="Century Gothic" w:hAnsi="Century Gothic"/>
        </w:rPr>
        <w:t>Emailed monthly newsletter, Rights Stuff, to 100+ individuals and organizations</w:t>
      </w:r>
      <w:r w:rsidR="00B535FE">
        <w:rPr>
          <w:rFonts w:ascii="Century Gothic" w:hAnsi="Century Gothic"/>
        </w:rPr>
        <w:br/>
      </w:r>
    </w:p>
    <w:p w:rsidR="009B5B8B" w:rsidRDefault="009B5B8B" w:rsidP="009B5B8B">
      <w:pPr>
        <w:pStyle w:val="ListParagraph"/>
        <w:numPr>
          <w:ilvl w:val="0"/>
          <w:numId w:val="16"/>
        </w:numPr>
        <w:rPr>
          <w:rFonts w:ascii="Century Gothic" w:hAnsi="Century Gothic"/>
        </w:rPr>
      </w:pPr>
      <w:r>
        <w:rPr>
          <w:rFonts w:ascii="Century Gothic" w:hAnsi="Century Gothic"/>
        </w:rPr>
        <w:t>McKinney interviewed by WFIU about living wage ordinance</w:t>
      </w:r>
      <w:r w:rsidR="00B535FE">
        <w:rPr>
          <w:rFonts w:ascii="Century Gothic" w:hAnsi="Century Gothic"/>
        </w:rPr>
        <w:br/>
      </w:r>
    </w:p>
    <w:p w:rsidR="009B5B8B" w:rsidRDefault="009B5B8B" w:rsidP="009B5B8B">
      <w:pPr>
        <w:pStyle w:val="ListParagraph"/>
        <w:numPr>
          <w:ilvl w:val="0"/>
          <w:numId w:val="16"/>
        </w:numPr>
        <w:rPr>
          <w:rFonts w:ascii="Century Gothic" w:hAnsi="Century Gothic"/>
        </w:rPr>
      </w:pPr>
      <w:r>
        <w:rPr>
          <w:rFonts w:ascii="Century Gothic" w:hAnsi="Century Gothic"/>
        </w:rPr>
        <w:t>BHRC mentioned in Bloom article, “Anti-Asian Racism:  The Bloomington Experience,” June, 2021</w:t>
      </w:r>
    </w:p>
    <w:p w:rsidR="00F67F28" w:rsidRDefault="00F67F28" w:rsidP="00F67F28">
      <w:pPr>
        <w:pStyle w:val="ListParagraph"/>
        <w:ind w:left="1440"/>
        <w:rPr>
          <w:rFonts w:ascii="Century Gothic" w:hAnsi="Century Gothic"/>
        </w:rPr>
      </w:pPr>
    </w:p>
    <w:p w:rsidR="009B5B8B" w:rsidRDefault="009B5B8B" w:rsidP="009B5B8B">
      <w:pPr>
        <w:pStyle w:val="ListParagraph"/>
        <w:numPr>
          <w:ilvl w:val="0"/>
          <w:numId w:val="1"/>
        </w:numPr>
        <w:rPr>
          <w:rFonts w:ascii="Century Gothic" w:hAnsi="Century Gothic"/>
          <w:b/>
        </w:rPr>
      </w:pPr>
      <w:r w:rsidRPr="009B5B8B">
        <w:rPr>
          <w:rFonts w:ascii="Century Gothic" w:hAnsi="Century Gothic"/>
          <w:b/>
        </w:rPr>
        <w:t>Networking/education</w:t>
      </w:r>
    </w:p>
    <w:p w:rsidR="00F67F28" w:rsidRDefault="00F67F28" w:rsidP="00F67F28">
      <w:pPr>
        <w:pStyle w:val="ListParagraph"/>
        <w:ind w:left="1080"/>
        <w:rPr>
          <w:rFonts w:ascii="Century Gothic" w:hAnsi="Century Gothic"/>
          <w:b/>
        </w:rPr>
      </w:pPr>
    </w:p>
    <w:p w:rsidR="009B5B8B" w:rsidRDefault="009B5B8B" w:rsidP="009B5B8B">
      <w:pPr>
        <w:pStyle w:val="ListParagraph"/>
        <w:numPr>
          <w:ilvl w:val="0"/>
          <w:numId w:val="17"/>
        </w:numPr>
        <w:rPr>
          <w:rFonts w:ascii="Century Gothic" w:hAnsi="Century Gothic"/>
        </w:rPr>
      </w:pPr>
      <w:r>
        <w:rPr>
          <w:rFonts w:ascii="Century Gothic" w:hAnsi="Century Gothic"/>
        </w:rPr>
        <w:t>McKinney attended several webinars on the ADA</w:t>
      </w:r>
      <w:r w:rsidR="00B535FE">
        <w:rPr>
          <w:rFonts w:ascii="Century Gothic" w:hAnsi="Century Gothic"/>
        </w:rPr>
        <w:br/>
      </w:r>
    </w:p>
    <w:p w:rsidR="009B5B8B" w:rsidRDefault="009B5B8B" w:rsidP="009B5B8B">
      <w:pPr>
        <w:pStyle w:val="ListParagraph"/>
        <w:numPr>
          <w:ilvl w:val="0"/>
          <w:numId w:val="17"/>
        </w:numPr>
        <w:rPr>
          <w:rFonts w:ascii="Century Gothic" w:hAnsi="Century Gothic"/>
        </w:rPr>
      </w:pPr>
      <w:r>
        <w:rPr>
          <w:rFonts w:ascii="Century Gothic" w:hAnsi="Century Gothic"/>
        </w:rPr>
        <w:t>McKinney attended AIM’s annual local government law webinar</w:t>
      </w:r>
      <w:r w:rsidR="00B535FE">
        <w:rPr>
          <w:rFonts w:ascii="Century Gothic" w:hAnsi="Century Gothic"/>
        </w:rPr>
        <w:br/>
      </w:r>
    </w:p>
    <w:p w:rsidR="009B5B8B" w:rsidRDefault="009B5B8B" w:rsidP="009B5B8B">
      <w:pPr>
        <w:pStyle w:val="ListParagraph"/>
        <w:numPr>
          <w:ilvl w:val="0"/>
          <w:numId w:val="17"/>
        </w:numPr>
        <w:rPr>
          <w:rFonts w:ascii="Century Gothic" w:hAnsi="Century Gothic"/>
        </w:rPr>
      </w:pPr>
      <w:r>
        <w:rPr>
          <w:rFonts w:ascii="Century Gothic" w:hAnsi="Century Gothic"/>
        </w:rPr>
        <w:t>McKinney attended AIM’s webinar on new electronic meeting policy</w:t>
      </w:r>
      <w:r w:rsidR="00B535FE">
        <w:rPr>
          <w:rFonts w:ascii="Century Gothic" w:hAnsi="Century Gothic"/>
        </w:rPr>
        <w:br/>
      </w:r>
    </w:p>
    <w:p w:rsidR="009B5B8B" w:rsidRDefault="009B5B8B" w:rsidP="009B5B8B">
      <w:pPr>
        <w:pStyle w:val="ListParagraph"/>
        <w:numPr>
          <w:ilvl w:val="0"/>
          <w:numId w:val="17"/>
        </w:numPr>
        <w:rPr>
          <w:rFonts w:ascii="Century Gothic" w:hAnsi="Century Gothic"/>
        </w:rPr>
      </w:pPr>
      <w:r>
        <w:rPr>
          <w:rFonts w:ascii="Century Gothic" w:hAnsi="Century Gothic"/>
        </w:rPr>
        <w:lastRenderedPageBreak/>
        <w:t>McKinney attended CCA’s Breaking Down the Barriers event</w:t>
      </w:r>
      <w:r w:rsidR="00B535FE">
        <w:rPr>
          <w:rFonts w:ascii="Century Gothic" w:hAnsi="Century Gothic"/>
        </w:rPr>
        <w:br/>
      </w:r>
    </w:p>
    <w:p w:rsidR="009B5B8B" w:rsidRDefault="009B5B8B" w:rsidP="009B5B8B">
      <w:pPr>
        <w:pStyle w:val="ListParagraph"/>
        <w:numPr>
          <w:ilvl w:val="0"/>
          <w:numId w:val="17"/>
        </w:numPr>
        <w:rPr>
          <w:rFonts w:ascii="Century Gothic" w:hAnsi="Century Gothic"/>
        </w:rPr>
      </w:pPr>
      <w:r>
        <w:rPr>
          <w:rFonts w:ascii="Century Gothic" w:hAnsi="Century Gothic"/>
        </w:rPr>
        <w:t>McKinney attended CROWN meetings</w:t>
      </w:r>
      <w:r w:rsidR="00B535FE">
        <w:rPr>
          <w:rFonts w:ascii="Century Gothic" w:hAnsi="Century Gothic"/>
        </w:rPr>
        <w:br/>
      </w:r>
    </w:p>
    <w:p w:rsidR="009B5B8B" w:rsidRDefault="009B5B8B" w:rsidP="009B5B8B">
      <w:pPr>
        <w:pStyle w:val="ListParagraph"/>
        <w:numPr>
          <w:ilvl w:val="0"/>
          <w:numId w:val="17"/>
        </w:numPr>
        <w:rPr>
          <w:rFonts w:ascii="Century Gothic" w:hAnsi="Century Gothic"/>
        </w:rPr>
      </w:pPr>
      <w:r>
        <w:rPr>
          <w:rFonts w:ascii="Century Gothic" w:hAnsi="Century Gothic"/>
        </w:rPr>
        <w:t>McKinney attended webinar on national origin discrimination in the workplace</w:t>
      </w:r>
    </w:p>
    <w:p w:rsidR="00F67F28" w:rsidRDefault="00F67F28" w:rsidP="00F67F28">
      <w:pPr>
        <w:pStyle w:val="ListParagraph"/>
        <w:ind w:left="1440"/>
        <w:rPr>
          <w:rFonts w:ascii="Century Gothic" w:hAnsi="Century Gothic"/>
        </w:rPr>
      </w:pPr>
    </w:p>
    <w:p w:rsidR="009B5B8B" w:rsidRDefault="009B5B8B" w:rsidP="009B5B8B">
      <w:pPr>
        <w:pStyle w:val="ListParagraph"/>
        <w:numPr>
          <w:ilvl w:val="0"/>
          <w:numId w:val="1"/>
        </w:numPr>
        <w:rPr>
          <w:rFonts w:ascii="Century Gothic" w:hAnsi="Century Gothic"/>
          <w:b/>
        </w:rPr>
      </w:pPr>
      <w:r w:rsidRPr="009B5B8B">
        <w:rPr>
          <w:rFonts w:ascii="Century Gothic" w:hAnsi="Century Gothic"/>
          <w:b/>
        </w:rPr>
        <w:t>Affirmative action/common wage/living wage/drug testing policies</w:t>
      </w:r>
    </w:p>
    <w:p w:rsidR="00F67F28" w:rsidRPr="009B5B8B" w:rsidRDefault="00F67F28" w:rsidP="00F67F28">
      <w:pPr>
        <w:pStyle w:val="ListParagraph"/>
        <w:ind w:left="1080"/>
        <w:rPr>
          <w:rFonts w:ascii="Century Gothic" w:hAnsi="Century Gothic"/>
          <w:b/>
        </w:rPr>
      </w:pPr>
    </w:p>
    <w:p w:rsidR="009B5B8B" w:rsidRDefault="009B5B8B" w:rsidP="009B5B8B">
      <w:pPr>
        <w:pStyle w:val="ListParagraph"/>
        <w:numPr>
          <w:ilvl w:val="0"/>
          <w:numId w:val="18"/>
        </w:numPr>
        <w:rPr>
          <w:rFonts w:ascii="Century Gothic" w:hAnsi="Century Gothic"/>
        </w:rPr>
      </w:pPr>
      <w:r>
        <w:rPr>
          <w:rFonts w:ascii="Century Gothic" w:hAnsi="Century Gothic"/>
        </w:rPr>
        <w:t>McKinney reviewed and approved</w:t>
      </w:r>
      <w:r w:rsidR="00EC0B38">
        <w:rPr>
          <w:rFonts w:ascii="Century Gothic" w:hAnsi="Century Gothic"/>
        </w:rPr>
        <w:t xml:space="preserve"> 35</w:t>
      </w:r>
      <w:bookmarkStart w:id="0" w:name="_GoBack"/>
      <w:bookmarkEnd w:id="0"/>
      <w:r>
        <w:rPr>
          <w:rFonts w:ascii="Century Gothic" w:hAnsi="Century Gothic"/>
        </w:rPr>
        <w:t xml:space="preserve"> affirmative action plans.</w:t>
      </w:r>
      <w:r w:rsidR="00B535FE">
        <w:rPr>
          <w:rFonts w:ascii="Century Gothic" w:hAnsi="Century Gothic"/>
        </w:rPr>
        <w:br/>
      </w:r>
    </w:p>
    <w:p w:rsidR="009B5B8B" w:rsidRDefault="009B5B8B" w:rsidP="009B5B8B">
      <w:pPr>
        <w:pStyle w:val="ListParagraph"/>
        <w:numPr>
          <w:ilvl w:val="0"/>
          <w:numId w:val="18"/>
        </w:numPr>
        <w:rPr>
          <w:rFonts w:ascii="Century Gothic" w:hAnsi="Century Gothic"/>
        </w:rPr>
      </w:pPr>
      <w:r>
        <w:rPr>
          <w:rFonts w:ascii="Century Gothic" w:hAnsi="Century Gothic"/>
        </w:rPr>
        <w:t>McKinney found one AAP to be unacceptable; bidder successfully appealed finding to the Contract Compliance Committee of the BHRC</w:t>
      </w:r>
      <w:r w:rsidR="00B535FE">
        <w:rPr>
          <w:rFonts w:ascii="Century Gothic" w:hAnsi="Century Gothic"/>
        </w:rPr>
        <w:br/>
      </w:r>
    </w:p>
    <w:p w:rsidR="009B5B8B" w:rsidRDefault="009B5B8B" w:rsidP="009B5B8B">
      <w:pPr>
        <w:pStyle w:val="ListParagraph"/>
        <w:numPr>
          <w:ilvl w:val="0"/>
          <w:numId w:val="18"/>
        </w:numPr>
        <w:rPr>
          <w:rFonts w:ascii="Century Gothic" w:hAnsi="Century Gothic"/>
        </w:rPr>
      </w:pPr>
      <w:proofErr w:type="spellStart"/>
      <w:r>
        <w:rPr>
          <w:rFonts w:ascii="Century Gothic" w:hAnsi="Century Gothic"/>
        </w:rPr>
        <w:t>DeCriscio</w:t>
      </w:r>
      <w:proofErr w:type="spellEnd"/>
      <w:r>
        <w:rPr>
          <w:rFonts w:ascii="Century Gothic" w:hAnsi="Century Gothic"/>
        </w:rPr>
        <w:t xml:space="preserve"> Bowe reviewed contractors’ wage payments for Davis Bacon compliance</w:t>
      </w:r>
      <w:r w:rsidR="00B535FE">
        <w:rPr>
          <w:rFonts w:ascii="Century Gothic" w:hAnsi="Century Gothic"/>
        </w:rPr>
        <w:br/>
      </w:r>
    </w:p>
    <w:p w:rsidR="009B5B8B" w:rsidRDefault="00F67F28" w:rsidP="009B5B8B">
      <w:pPr>
        <w:pStyle w:val="ListParagraph"/>
        <w:numPr>
          <w:ilvl w:val="0"/>
          <w:numId w:val="18"/>
        </w:numPr>
        <w:rPr>
          <w:rFonts w:ascii="Century Gothic" w:hAnsi="Century Gothic"/>
        </w:rPr>
      </w:pPr>
      <w:r>
        <w:rPr>
          <w:rFonts w:ascii="Century Gothic" w:hAnsi="Century Gothic"/>
        </w:rPr>
        <w:t xml:space="preserve">McKinney reviewed one </w:t>
      </w:r>
      <w:r w:rsidR="009B5B8B">
        <w:rPr>
          <w:rFonts w:ascii="Century Gothic" w:hAnsi="Century Gothic"/>
        </w:rPr>
        <w:t>contractor’s drug testing policy</w:t>
      </w:r>
    </w:p>
    <w:p w:rsidR="00F67F28" w:rsidRDefault="00F67F28" w:rsidP="00F67F28">
      <w:pPr>
        <w:pStyle w:val="ListParagraph"/>
        <w:ind w:left="1440"/>
        <w:rPr>
          <w:rFonts w:ascii="Century Gothic" w:hAnsi="Century Gothic"/>
        </w:rPr>
      </w:pPr>
    </w:p>
    <w:p w:rsidR="009B5B8B" w:rsidRPr="009B5B8B" w:rsidRDefault="009B5B8B" w:rsidP="009B5B8B">
      <w:pPr>
        <w:pStyle w:val="ListParagraph"/>
        <w:numPr>
          <w:ilvl w:val="0"/>
          <w:numId w:val="1"/>
        </w:numPr>
        <w:rPr>
          <w:rFonts w:ascii="Century Gothic" w:hAnsi="Century Gothic"/>
          <w:b/>
        </w:rPr>
      </w:pPr>
      <w:r w:rsidRPr="009B5B8B">
        <w:rPr>
          <w:rFonts w:ascii="Century Gothic" w:hAnsi="Century Gothic"/>
          <w:b/>
        </w:rPr>
        <w:t>ADA issues</w:t>
      </w:r>
      <w:r w:rsidR="00B535FE">
        <w:rPr>
          <w:rFonts w:ascii="Century Gothic" w:hAnsi="Century Gothic"/>
          <w:b/>
        </w:rPr>
        <w:br/>
      </w:r>
    </w:p>
    <w:p w:rsidR="009B5B8B" w:rsidRDefault="009B5B8B" w:rsidP="009B5B8B">
      <w:pPr>
        <w:pStyle w:val="ListParagraph"/>
        <w:numPr>
          <w:ilvl w:val="0"/>
          <w:numId w:val="19"/>
        </w:numPr>
        <w:rPr>
          <w:rFonts w:ascii="Century Gothic" w:hAnsi="Century Gothic"/>
        </w:rPr>
      </w:pPr>
      <w:r>
        <w:rPr>
          <w:rFonts w:ascii="Century Gothic" w:hAnsi="Century Gothic"/>
        </w:rPr>
        <w:t xml:space="preserve">McKinney answered questions about accessibility issues at city </w:t>
      </w:r>
      <w:r w:rsidR="00F67F28">
        <w:rPr>
          <w:rFonts w:ascii="Century Gothic" w:hAnsi="Century Gothic"/>
        </w:rPr>
        <w:t>property and at private facilities</w:t>
      </w:r>
      <w:r w:rsidR="00B535FE">
        <w:rPr>
          <w:rFonts w:ascii="Century Gothic" w:hAnsi="Century Gothic"/>
        </w:rPr>
        <w:br/>
      </w:r>
    </w:p>
    <w:p w:rsidR="009B5B8B" w:rsidRPr="009B5B8B" w:rsidRDefault="009B5B8B" w:rsidP="009B5B8B">
      <w:pPr>
        <w:pStyle w:val="ListParagraph"/>
        <w:numPr>
          <w:ilvl w:val="0"/>
          <w:numId w:val="19"/>
        </w:numPr>
        <w:rPr>
          <w:rFonts w:ascii="Century Gothic" w:hAnsi="Century Gothic"/>
        </w:rPr>
      </w:pPr>
      <w:r>
        <w:rPr>
          <w:rFonts w:ascii="Century Gothic" w:hAnsi="Century Gothic"/>
        </w:rPr>
        <w:t>McKinney answered several questions from tenants and landlords about emotional support and service animals in rental properties</w:t>
      </w:r>
    </w:p>
    <w:p w:rsidR="00D4291C" w:rsidRPr="00D4291C" w:rsidRDefault="00D4291C" w:rsidP="00D4291C">
      <w:pPr>
        <w:rPr>
          <w:rFonts w:ascii="Century Gothic" w:hAnsi="Century Gothic"/>
        </w:rPr>
      </w:pPr>
    </w:p>
    <w:sectPr w:rsidR="00D4291C" w:rsidRPr="00D42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ADB"/>
    <w:multiLevelType w:val="hybridMultilevel"/>
    <w:tmpl w:val="BAC23ACC"/>
    <w:lvl w:ilvl="0" w:tplc="C4EAFE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D24A2E"/>
    <w:multiLevelType w:val="hybridMultilevel"/>
    <w:tmpl w:val="4748F4A8"/>
    <w:lvl w:ilvl="0" w:tplc="0ABE81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48399A"/>
    <w:multiLevelType w:val="hybridMultilevel"/>
    <w:tmpl w:val="A65EDDAC"/>
    <w:lvl w:ilvl="0" w:tplc="2126160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7BB7CAC"/>
    <w:multiLevelType w:val="hybridMultilevel"/>
    <w:tmpl w:val="CF269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80BCE"/>
    <w:multiLevelType w:val="hybridMultilevel"/>
    <w:tmpl w:val="0A5230CC"/>
    <w:lvl w:ilvl="0" w:tplc="7C566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082BB7"/>
    <w:multiLevelType w:val="hybridMultilevel"/>
    <w:tmpl w:val="51A6A3C2"/>
    <w:lvl w:ilvl="0" w:tplc="CE6ED7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8D3E64"/>
    <w:multiLevelType w:val="hybridMultilevel"/>
    <w:tmpl w:val="9F54D3E4"/>
    <w:lvl w:ilvl="0" w:tplc="62E670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C717AB"/>
    <w:multiLevelType w:val="hybridMultilevel"/>
    <w:tmpl w:val="1D5469E0"/>
    <w:lvl w:ilvl="0" w:tplc="CF046A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893B32"/>
    <w:multiLevelType w:val="hybridMultilevel"/>
    <w:tmpl w:val="A21452DC"/>
    <w:lvl w:ilvl="0" w:tplc="9D1CD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3F6589"/>
    <w:multiLevelType w:val="hybridMultilevel"/>
    <w:tmpl w:val="4ECEACE0"/>
    <w:lvl w:ilvl="0" w:tplc="011CC8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C50D0A"/>
    <w:multiLevelType w:val="hybridMultilevel"/>
    <w:tmpl w:val="12E88EA8"/>
    <w:lvl w:ilvl="0" w:tplc="C4E05B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4F3051"/>
    <w:multiLevelType w:val="hybridMultilevel"/>
    <w:tmpl w:val="AA8890C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A85BBE"/>
    <w:multiLevelType w:val="hybridMultilevel"/>
    <w:tmpl w:val="12CA3E40"/>
    <w:lvl w:ilvl="0" w:tplc="3A1211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52BC7"/>
    <w:multiLevelType w:val="hybridMultilevel"/>
    <w:tmpl w:val="C3648904"/>
    <w:lvl w:ilvl="0" w:tplc="5FB079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AF3BD7"/>
    <w:multiLevelType w:val="hybridMultilevel"/>
    <w:tmpl w:val="A3407312"/>
    <w:lvl w:ilvl="0" w:tplc="70886D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B9412B"/>
    <w:multiLevelType w:val="hybridMultilevel"/>
    <w:tmpl w:val="772C35E8"/>
    <w:lvl w:ilvl="0" w:tplc="0E425D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2F1BEA"/>
    <w:multiLevelType w:val="hybridMultilevel"/>
    <w:tmpl w:val="B9661528"/>
    <w:lvl w:ilvl="0" w:tplc="FE98C6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8B5E20"/>
    <w:multiLevelType w:val="hybridMultilevel"/>
    <w:tmpl w:val="07F6C576"/>
    <w:lvl w:ilvl="0" w:tplc="3B10669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196A93"/>
    <w:multiLevelType w:val="hybridMultilevel"/>
    <w:tmpl w:val="FB2EB548"/>
    <w:lvl w:ilvl="0" w:tplc="78B2D4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EF233F"/>
    <w:multiLevelType w:val="hybridMultilevel"/>
    <w:tmpl w:val="6EC8921C"/>
    <w:lvl w:ilvl="0" w:tplc="E92245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FF073AA"/>
    <w:multiLevelType w:val="hybridMultilevel"/>
    <w:tmpl w:val="03D09DA2"/>
    <w:lvl w:ilvl="0" w:tplc="DF9286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8"/>
  </w:num>
  <w:num w:numId="3">
    <w:abstractNumId w:val="16"/>
  </w:num>
  <w:num w:numId="4">
    <w:abstractNumId w:val="14"/>
  </w:num>
  <w:num w:numId="5">
    <w:abstractNumId w:val="1"/>
  </w:num>
  <w:num w:numId="6">
    <w:abstractNumId w:val="9"/>
  </w:num>
  <w:num w:numId="7">
    <w:abstractNumId w:val="2"/>
  </w:num>
  <w:num w:numId="8">
    <w:abstractNumId w:val="19"/>
  </w:num>
  <w:num w:numId="9">
    <w:abstractNumId w:val="4"/>
  </w:num>
  <w:num w:numId="10">
    <w:abstractNumId w:val="7"/>
  </w:num>
  <w:num w:numId="11">
    <w:abstractNumId w:val="13"/>
  </w:num>
  <w:num w:numId="12">
    <w:abstractNumId w:val="18"/>
  </w:num>
  <w:num w:numId="13">
    <w:abstractNumId w:val="0"/>
  </w:num>
  <w:num w:numId="14">
    <w:abstractNumId w:val="20"/>
  </w:num>
  <w:num w:numId="15">
    <w:abstractNumId w:val="3"/>
  </w:num>
  <w:num w:numId="16">
    <w:abstractNumId w:val="15"/>
  </w:num>
  <w:num w:numId="17">
    <w:abstractNumId w:val="10"/>
  </w:num>
  <w:num w:numId="18">
    <w:abstractNumId w:val="6"/>
  </w:num>
  <w:num w:numId="19">
    <w:abstractNumId w:val="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1C"/>
    <w:rsid w:val="009B5B8B"/>
    <w:rsid w:val="00B00AE0"/>
    <w:rsid w:val="00B17BC7"/>
    <w:rsid w:val="00B535FE"/>
    <w:rsid w:val="00D4291C"/>
    <w:rsid w:val="00EC0B38"/>
    <w:rsid w:val="00F25B26"/>
    <w:rsid w:val="00F6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D8C47-E179-490F-BC89-0453F2E0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1C"/>
    <w:pPr>
      <w:ind w:left="720"/>
      <w:contextualSpacing/>
    </w:pPr>
  </w:style>
  <w:style w:type="paragraph" w:styleId="BalloonText">
    <w:name w:val="Balloon Text"/>
    <w:basedOn w:val="Normal"/>
    <w:link w:val="BalloonTextChar"/>
    <w:uiPriority w:val="99"/>
    <w:semiHidden/>
    <w:unhideWhenUsed/>
    <w:rsid w:val="00B17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dc:description/>
  <cp:lastModifiedBy>Templateuser</cp:lastModifiedBy>
  <cp:revision>4</cp:revision>
  <cp:lastPrinted>2021-07-15T20:58:00Z</cp:lastPrinted>
  <dcterms:created xsi:type="dcterms:W3CDTF">2021-07-09T20:03:00Z</dcterms:created>
  <dcterms:modified xsi:type="dcterms:W3CDTF">2021-07-15T21:03:00Z</dcterms:modified>
</cp:coreProperties>
</file>